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2"/>
        <w:tblW w:type="auto" w:w="0"/>
        <w:tblInd w:type="dxa" w:w="392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nil"/>
          <w:insideV w:color="000000" w:sz="4" w:val="nil"/>
        </w:tblBorders>
        <w:tblLayout w:type="fixed"/>
      </w:tblPr>
      <w:tblGrid>
        <w:gridCol w:w="4933"/>
        <w:gridCol w:w="4598"/>
      </w:tblGrid>
      <w:tr>
        <w:trPr>
          <w:trHeight w:hRule="atLeast" w:val="2551"/>
        </w:trPr>
        <w:tc>
          <w:tcPr>
            <w:tcW w:type="dxa" w:w="4933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09000000">
            <w:pPr>
              <w:widowControl w:val="1"/>
              <w:tabs>
                <w:tab w:leader="none" w:pos="4784" w:val="right"/>
              </w:tabs>
              <w:ind w:firstLine="2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drawing>
                <wp:inline>
                  <wp:extent cx="2340869" cy="1548387"/>
                  <wp:effectExtent b="0" l="0" r="0" t="0"/>
                  <wp:docPr hidden="false" id="1" name="Picture 1"/>
                  <a:graphic>
                    <a:graphicData uri="http://schemas.openxmlformats.org/drawingml/2006/picture">
                      <pic:pic>
                        <pic:nvPicPr>
                          <pic:cNvPr hidden="false" id="2" name="Picture 2"/>
                          <pic:cNvPicPr preferRelativeResize="true"/>
                        </pic:nvPicPr>
                        <pic:blipFill>
                          <a:blip r:embed="rId4"/>
                          <a:stretch/>
                        </pic:blipFill>
                        <pic:spPr>
                          <a:xfrm flipH="false" flipV="false" rot="0">
                            <a:ext cx="2340869" cy="1548387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Style w:val="Style_2"/>
              <w:tblW w:type="auto" w:w="0"/>
              <w:tblBorders>
                <w:top w:color="000000" w:sz="4" w:val="nil"/>
                <w:left w:color="000000" w:sz="4" w:val="nil"/>
                <w:bottom w:color="000000" w:sz="4" w:val="nil"/>
                <w:right w:color="000000" w:sz="4" w:val="nil"/>
                <w:insideH w:color="000000" w:sz="4" w:val="nil"/>
                <w:insideV w:color="000000" w:sz="4" w:val="nil"/>
              </w:tblBorders>
              <w:tblLayout w:type="fixed"/>
            </w:tblPr>
            <w:tblGrid>
              <w:gridCol w:w="627"/>
              <w:gridCol w:w="1029"/>
              <w:gridCol w:w="283"/>
              <w:gridCol w:w="2496"/>
              <w:gridCol w:w="54"/>
            </w:tblGrid>
            <w:tr>
              <w:tc>
                <w:tcPr>
                  <w:tcW w:type="dxa" w:w="1656"/>
                  <w:gridSpan w:val="2"/>
                  <w:tcBorders>
                    <w:top w:color="000000" w:sz="4" w:val="nil"/>
                    <w:left w:color="000000" w:sz="4" w:val="nil"/>
                    <w:bottom w:color="000000" w:sz="2" w:val="single"/>
                    <w:right w:color="000000" w:sz="4" w:val="nil"/>
                  </w:tcBorders>
                  <w:tcMar>
                    <w:left w:type="dxa" w:w="0"/>
                    <w:bottom w:type="dxa" w:w="85"/>
                    <w:right w:type="dxa" w:w="0"/>
                  </w:tcMar>
                  <w:vAlign w:val="center"/>
                </w:tcPr>
                <w:p w14:paraId="0A000000">
                  <w:pPr>
                    <w:widowControl w:val="1"/>
                    <w:spacing w:before="120"/>
                    <w:ind/>
                    <w:jc w:val="center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19.</w:t>
                  </w:r>
                  <w:r>
                    <w:rPr>
                      <w:rFonts w:ascii="Times New Roman" w:hAnsi="Times New Roman"/>
                      <w:sz w:val="24"/>
                    </w:rPr>
                    <w:t>03</w:t>
                  </w:r>
                  <w:r>
                    <w:rPr>
                      <w:rFonts w:ascii="Times New Roman" w:hAnsi="Times New Roman"/>
                      <w:sz w:val="24"/>
                    </w:rPr>
                    <w:t>.2026</w:t>
                  </w:r>
                </w:p>
              </w:tc>
              <w:tc>
                <w:tcPr>
                  <w:tcW w:type="dxa" w:w="283"/>
                  <w:tcBorders>
                    <w:top w:color="000000" w:sz="4" w:val="nil"/>
                    <w:left w:color="000000" w:sz="4" w:val="nil"/>
                    <w:bottom w:color="000000" w:sz="4" w:val="nil"/>
                    <w:right w:color="000000" w:sz="4" w:val="nil"/>
                  </w:tcBorders>
                  <w:tcMar>
                    <w:left w:type="dxa" w:w="0"/>
                    <w:bottom w:type="dxa" w:w="85"/>
                    <w:right w:type="dxa" w:w="0"/>
                  </w:tcMar>
                  <w:vAlign w:val="bottom"/>
                </w:tcPr>
                <w:p w14:paraId="0B000000">
                  <w:pPr>
                    <w:widowControl w:val="1"/>
                    <w:spacing w:before="120"/>
                    <w:ind/>
                    <w:jc w:val="center"/>
                    <w:rPr>
                      <w:rFonts w:ascii="Times New Roman" w:hAnsi="Times New Roman"/>
                      <w:sz w:val="27"/>
                    </w:rPr>
                  </w:pPr>
                  <w:r>
                    <w:rPr>
                      <w:rFonts w:ascii="Times New Roman" w:hAnsi="Times New Roman"/>
                      <w:sz w:val="27"/>
                    </w:rPr>
                    <w:t>№</w:t>
                  </w:r>
                </w:p>
              </w:tc>
              <w:tc>
                <w:tcPr>
                  <w:tcW w:type="dxa" w:w="2550"/>
                  <w:gridSpan w:val="2"/>
                  <w:tcBorders>
                    <w:top w:color="000000" w:sz="4" w:val="nil"/>
                    <w:left w:color="000000" w:sz="4" w:val="nil"/>
                    <w:bottom w:color="000000" w:sz="4" w:val="single"/>
                    <w:right w:color="000000" w:sz="4" w:val="nil"/>
                  </w:tcBorders>
                  <w:tcMar>
                    <w:bottom w:type="dxa" w:w="85"/>
                  </w:tcMar>
                  <w:vAlign w:val="bottom"/>
                </w:tcPr>
                <w:p w14:paraId="0C000000">
                  <w:pPr>
                    <w:widowControl w:val="1"/>
                    <w:spacing w:before="120"/>
                    <w:ind/>
                    <w:jc w:val="both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7</w:t>
                  </w:r>
                  <w:r>
                    <w:rPr>
                      <w:rFonts w:ascii="Times New Roman" w:hAnsi="Times New Roman"/>
                      <w:sz w:val="24"/>
                    </w:rPr>
                    <w:t>-</w:t>
                  </w:r>
                  <w:r>
                    <w:rPr>
                      <w:rFonts w:ascii="Times New Roman" w:hAnsi="Times New Roman"/>
                      <w:sz w:val="24"/>
                    </w:rPr>
                    <w:t>0</w:t>
                  </w:r>
                  <w:r>
                    <w:rPr>
                      <w:rFonts w:ascii="Times New Roman" w:hAnsi="Times New Roman"/>
                      <w:sz w:val="24"/>
                    </w:rPr>
                    <w:t>1</w:t>
                  </w:r>
                  <w:r>
                    <w:rPr>
                      <w:rFonts w:ascii="Times New Roman" w:hAnsi="Times New Roman"/>
                      <w:sz w:val="24"/>
                    </w:rPr>
                    <w:t>-2026</w:t>
                  </w:r>
                </w:p>
              </w:tc>
            </w:tr>
            <w:tr>
              <w:tc>
                <w:tcPr>
                  <w:tcW w:type="dxa" w:w="627"/>
                  <w:tcBorders>
                    <w:top w:color="000000" w:sz="4" w:val="nil"/>
                    <w:left w:color="000000" w:sz="4" w:val="nil"/>
                    <w:bottom w:color="000000" w:sz="4" w:val="nil"/>
                    <w:right w:color="000000" w:sz="4" w:val="nil"/>
                  </w:tcBorders>
                  <w:tcMar>
                    <w:left w:type="dxa" w:w="0"/>
                    <w:right w:type="dxa" w:w="0"/>
                  </w:tcMar>
                  <w:vAlign w:val="bottom"/>
                </w:tcPr>
                <w:p w14:paraId="0D000000">
                  <w:pPr>
                    <w:widowControl w:val="1"/>
                    <w:spacing w:before="140"/>
                    <w:ind/>
                    <w:rPr>
                      <w:rFonts w:ascii="Times New Roman" w:hAnsi="Times New Roman"/>
                      <w:b w:val="1"/>
                      <w:sz w:val="20"/>
                    </w:rPr>
                  </w:pPr>
                  <w:r>
                    <w:rPr>
                      <w:rFonts w:ascii="Times New Roman" w:hAnsi="Times New Roman"/>
                      <w:b w:val="1"/>
                      <w:sz w:val="20"/>
                    </w:rPr>
                    <w:t>На №</w:t>
                  </w:r>
                </w:p>
              </w:tc>
              <w:tc>
                <w:tcPr>
                  <w:tcW w:type="dxa" w:w="3808"/>
                  <w:gridSpan w:val="3"/>
                  <w:tcBorders>
                    <w:top w:color="000000" w:sz="4" w:val="nil"/>
                    <w:left w:color="000000" w:sz="4" w:val="nil"/>
                    <w:bottom w:color="000000" w:sz="2" w:val="single"/>
                    <w:right w:color="000000" w:sz="4" w:val="nil"/>
                  </w:tcBorders>
                  <w:vAlign w:val="bottom"/>
                </w:tcPr>
                <w:p w14:paraId="0E000000">
                  <w:pPr>
                    <w:widowControl w:val="1"/>
                    <w:spacing w:before="140"/>
                    <w:ind/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type="dxa" w:w="54"/>
                  <w:tcBorders>
                    <w:top w:color="000000" w:sz="4" w:val="nil"/>
                    <w:left w:color="000000" w:sz="4" w:val="nil"/>
                    <w:bottom w:color="000000" w:sz="4" w:val="nil"/>
                    <w:right w:color="000000" w:sz="4" w:val="nil"/>
                  </w:tcBorders>
                </w:tcPr>
                <w:p/>
              </w:tc>
            </w:tr>
          </w:tbl>
          <w:p w14:paraId="0F000000">
            <w:pPr>
              <w:widowControl w:val="1"/>
              <w:tabs>
                <w:tab w:leader="none" w:pos="4784" w:val="right"/>
              </w:tabs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598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10000000">
            <w:pPr>
              <w:rPr>
                <w:rFonts w:ascii="Times New Roman" w:hAnsi="Times New Roman"/>
                <w:color w:themeColor="text1" w:val="000000"/>
              </w:rPr>
            </w:pPr>
          </w:p>
          <w:p w14:paraId="11000000">
            <w:pPr>
              <w:rPr>
                <w:rFonts w:ascii="Times New Roman" w:hAnsi="Times New Roman"/>
                <w:color w:themeColor="text1" w:val="000000"/>
              </w:rPr>
            </w:pPr>
          </w:p>
          <w:p w14:paraId="12000000">
            <w:pPr>
              <w:rPr>
                <w:rFonts w:ascii="Times New Roman" w:hAnsi="Times New Roman"/>
                <w:color w:themeColor="text1" w:val="000000"/>
              </w:rPr>
            </w:pPr>
          </w:p>
          <w:p w14:paraId="13000000">
            <w:pPr>
              <w:widowControl w:val="1"/>
              <w:spacing w:line="240" w:lineRule="exact"/>
              <w:ind/>
              <w:rPr>
                <w:rFonts w:ascii="Times New Roman" w:hAnsi="Times New Roman"/>
                <w:color w:themeColor="text1" w:val="000000"/>
                <w:sz w:val="28"/>
              </w:rPr>
            </w:pPr>
          </w:p>
          <w:p w14:paraId="14000000">
            <w:pPr>
              <w:widowControl w:val="1"/>
              <w:spacing w:line="240" w:lineRule="exact"/>
              <w:ind/>
              <w:rPr>
                <w:rFonts w:ascii="Times New Roman" w:hAnsi="Times New Roman"/>
                <w:color w:themeColor="text1" w:val="000000"/>
                <w:sz w:val="27"/>
              </w:rPr>
            </w:pPr>
            <w:r>
              <w:rPr>
                <w:rFonts w:ascii="Times New Roman" w:hAnsi="Times New Roman"/>
                <w:color w:themeColor="text1" w:val="000000"/>
                <w:sz w:val="27"/>
              </w:rPr>
              <w:t xml:space="preserve">Прокуратура Ленинградской области </w:t>
            </w:r>
          </w:p>
          <w:p w14:paraId="15000000">
            <w:pPr>
              <w:widowControl w:val="1"/>
              <w:spacing w:line="240" w:lineRule="exact"/>
              <w:ind/>
              <w:rPr>
                <w:rFonts w:ascii="Times New Roman" w:hAnsi="Times New Roman"/>
                <w:color w:themeColor="text1" w:val="000000"/>
                <w:sz w:val="27"/>
              </w:rPr>
            </w:pPr>
          </w:p>
          <w:p w14:paraId="16000000">
            <w:pPr>
              <w:widowControl w:val="1"/>
              <w:spacing w:line="240" w:lineRule="exact"/>
              <w:ind/>
              <w:rPr>
                <w:rFonts w:ascii="Times New Roman" w:hAnsi="Times New Roman"/>
                <w:color w:themeColor="text1" w:val="000000"/>
                <w:sz w:val="27"/>
              </w:rPr>
            </w:pPr>
            <w:r>
              <w:rPr>
                <w:rFonts w:ascii="Times New Roman" w:hAnsi="Times New Roman"/>
                <w:color w:themeColor="text1" w:val="000000"/>
                <w:sz w:val="27"/>
              </w:rPr>
              <w:t xml:space="preserve">Старшему помощнику прокурора Ленинградской области </w:t>
            </w:r>
          </w:p>
          <w:p w14:paraId="17000000">
            <w:pPr>
              <w:widowControl w:val="1"/>
              <w:spacing w:line="240" w:lineRule="exact"/>
              <w:ind/>
              <w:rPr>
                <w:rFonts w:ascii="Times New Roman" w:hAnsi="Times New Roman"/>
                <w:color w:themeColor="text1" w:val="000000"/>
                <w:sz w:val="27"/>
              </w:rPr>
            </w:pPr>
            <w:r>
              <w:rPr>
                <w:rFonts w:ascii="Times New Roman" w:hAnsi="Times New Roman"/>
                <w:color w:themeColor="text1" w:val="000000"/>
                <w:sz w:val="27"/>
              </w:rPr>
              <w:t xml:space="preserve">по взаимодействию со </w:t>
            </w:r>
            <w:r>
              <w:rPr>
                <w:rFonts w:ascii="Times New Roman" w:hAnsi="Times New Roman"/>
                <w:color w:themeColor="text1" w:val="000000"/>
                <w:sz w:val="27"/>
              </w:rPr>
              <w:t>средствами массовой информации</w:t>
            </w:r>
          </w:p>
          <w:p w14:paraId="18000000">
            <w:pPr>
              <w:widowControl w:val="1"/>
              <w:spacing w:line="240" w:lineRule="exact"/>
              <w:ind/>
              <w:rPr>
                <w:rFonts w:ascii="Times New Roman" w:hAnsi="Times New Roman"/>
                <w:color w:themeColor="text1" w:val="000000"/>
                <w:sz w:val="27"/>
              </w:rPr>
            </w:pPr>
          </w:p>
          <w:p w14:paraId="19000000">
            <w:pPr>
              <w:widowControl w:val="1"/>
              <w:spacing w:line="240" w:lineRule="exact"/>
              <w:ind/>
              <w:rPr>
                <w:rFonts w:ascii="Times New Roman" w:hAnsi="Times New Roman"/>
                <w:color w:themeColor="text1" w:val="000000"/>
                <w:sz w:val="27"/>
              </w:rPr>
            </w:pPr>
            <w:r>
              <w:rPr>
                <w:rFonts w:ascii="Times New Roman" w:hAnsi="Times New Roman"/>
                <w:color w:themeColor="text1" w:val="000000"/>
                <w:sz w:val="27"/>
              </w:rPr>
              <w:t>Швецовой</w:t>
            </w:r>
            <w:r>
              <w:rPr>
                <w:rFonts w:ascii="Times New Roman" w:hAnsi="Times New Roman"/>
                <w:color w:themeColor="text1" w:val="000000"/>
                <w:sz w:val="27"/>
              </w:rPr>
              <w:t xml:space="preserve"> М.С.</w:t>
            </w:r>
          </w:p>
        </w:tc>
      </w:tr>
    </w:tbl>
    <w:p w14:paraId="1A00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7"/>
        </w:rPr>
      </w:pPr>
      <w:bookmarkStart w:id="3" w:name="_Hlk64303089"/>
    </w:p>
    <w:p w14:paraId="1B000000">
      <w:pPr>
        <w:widowControl w:val="1"/>
        <w:spacing w:after="0" w:line="240" w:lineRule="auto"/>
        <w:ind w:right="-144"/>
        <w:jc w:val="center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Уважаем</w:t>
      </w:r>
      <w:r>
        <w:rPr>
          <w:rFonts w:ascii="Times New Roman" w:hAnsi="Times New Roman"/>
          <w:sz w:val="27"/>
        </w:rPr>
        <w:t>ая Маргарита Сергеевна</w:t>
      </w:r>
      <w:r>
        <w:rPr>
          <w:rFonts w:ascii="Times New Roman" w:hAnsi="Times New Roman"/>
          <w:sz w:val="27"/>
        </w:rPr>
        <w:t>!</w:t>
      </w:r>
    </w:p>
    <w:p w14:paraId="1C000000">
      <w:pPr>
        <w:widowControl w:val="1"/>
        <w:spacing w:after="0" w:line="240" w:lineRule="auto"/>
        <w:ind w:right="-144"/>
        <w:jc w:val="center"/>
        <w:rPr>
          <w:rFonts w:ascii="Times New Roman" w:hAnsi="Times New Roman"/>
          <w:sz w:val="27"/>
        </w:rPr>
      </w:pPr>
      <w:bookmarkEnd w:id="3"/>
    </w:p>
    <w:p w14:paraId="1D000000">
      <w:pPr>
        <w:widowControl w:val="1"/>
        <w:tabs>
          <w:tab w:leader="none" w:pos="567" w:val="left"/>
        </w:tabs>
        <w:spacing w:after="0" w:line="240" w:lineRule="auto"/>
        <w:ind w:firstLine="709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Во исполнение приказа прокуратуры Ленинградской области</w:t>
      </w:r>
      <w:r>
        <w:rPr>
          <w:rFonts w:ascii="Times New Roman" w:hAnsi="Times New Roman"/>
          <w:sz w:val="27"/>
        </w:rPr>
        <w:t xml:space="preserve"> </w:t>
      </w:r>
      <w:r>
        <w:rPr>
          <w:rFonts w:ascii="Times New Roman" w:hAnsi="Times New Roman"/>
          <w:sz w:val="27"/>
        </w:rPr>
        <w:t>«Об организации работы по обеспечению доступа к информации о деятельности органов прокуратуры Ленинградской области» направляю в Ваш адрес информацию для опубликования</w:t>
      </w:r>
      <w:r>
        <w:rPr>
          <w:rFonts w:ascii="Times New Roman" w:hAnsi="Times New Roman"/>
          <w:sz w:val="27"/>
        </w:rPr>
        <w:br/>
      </w:r>
      <w:r>
        <w:rPr>
          <w:rFonts w:ascii="Times New Roman" w:hAnsi="Times New Roman"/>
          <w:sz w:val="27"/>
        </w:rPr>
        <w:t>в официальном Max</w:t>
      </w:r>
      <w:r>
        <w:rPr>
          <w:rFonts w:ascii="Times New Roman" w:hAnsi="Times New Roman"/>
          <w:sz w:val="27"/>
        </w:rPr>
        <w:t>-канале прокуратуры области</w:t>
      </w:r>
      <w:r>
        <w:rPr>
          <w:rFonts w:ascii="Times New Roman" w:hAnsi="Times New Roman"/>
          <w:sz w:val="27"/>
        </w:rPr>
        <w:t xml:space="preserve"> или официальном представительстве прокуратуры области на сайте Генеральной прокуратуры Российской Федерации (на Ваше решение)</w:t>
      </w:r>
      <w:r>
        <w:rPr>
          <w:rFonts w:ascii="Times New Roman" w:hAnsi="Times New Roman"/>
          <w:sz w:val="27"/>
        </w:rPr>
        <w:t>.</w:t>
      </w:r>
    </w:p>
    <w:p w14:paraId="1E000000">
      <w:pPr>
        <w:widowControl w:val="1"/>
        <w:tabs>
          <w:tab w:leader="none" w:pos="567" w:val="left"/>
        </w:tabs>
        <w:spacing w:after="0" w:line="240" w:lineRule="auto"/>
        <w:ind w:firstLine="709"/>
        <w:jc w:val="both"/>
        <w:rPr>
          <w:rFonts w:ascii="Times New Roman" w:hAnsi="Times New Roman"/>
          <w:sz w:val="27"/>
        </w:rPr>
      </w:pPr>
    </w:p>
    <w:p w14:paraId="1F000000">
      <w:pPr>
        <w:widowControl w:val="1"/>
        <w:tabs>
          <w:tab w:leader="none" w:pos="567" w:val="left"/>
        </w:tabs>
        <w:spacing w:after="0" w:line="240" w:lineRule="auto"/>
        <w:ind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Приложение: информация на 1 л.</w:t>
      </w:r>
    </w:p>
    <w:p w14:paraId="20000000">
      <w:pPr>
        <w:widowControl w:val="1"/>
        <w:tabs>
          <w:tab w:leader="none" w:pos="567" w:val="left"/>
        </w:tabs>
        <w:spacing w:after="0" w:line="240" w:lineRule="auto"/>
        <w:ind/>
        <w:jc w:val="both"/>
        <w:rPr>
          <w:rFonts w:ascii="Times New Roman" w:hAnsi="Times New Roman"/>
          <w:sz w:val="27"/>
        </w:rPr>
      </w:pPr>
    </w:p>
    <w:p w14:paraId="21000000">
      <w:pPr>
        <w:widowControl w:val="1"/>
        <w:tabs>
          <w:tab w:leader="none" w:pos="567" w:val="left"/>
        </w:tabs>
        <w:spacing w:after="0" w:line="240" w:lineRule="auto"/>
        <w:ind/>
        <w:jc w:val="both"/>
        <w:rPr>
          <w:rFonts w:ascii="Times New Roman" w:hAnsi="Times New Roman"/>
          <w:sz w:val="27"/>
        </w:rPr>
      </w:pPr>
    </w:p>
    <w:tbl>
      <w:tblPr>
        <w:tblStyle w:val="Style_2"/>
        <w:tblW w:type="auto" w:w="0"/>
        <w:tblInd w:type="dxa" w:w="-34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nil"/>
          <w:insideV w:color="000000" w:sz="4" w:val="nil"/>
        </w:tblBorders>
        <w:tblLayout w:type="fixed"/>
      </w:tblPr>
      <w:tblGrid>
        <w:gridCol w:w="4394"/>
        <w:gridCol w:w="5671"/>
      </w:tblGrid>
      <w:tr>
        <w:trPr>
          <w:trHeight w:hRule="atLeast" w:val="271"/>
        </w:trPr>
        <w:tc>
          <w:tcPr>
            <w:tcW w:type="dxa" w:w="4394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vAlign w:val="bottom"/>
          </w:tcPr>
          <w:p w14:paraId="22000000">
            <w:pPr>
              <w:widowControl w:val="1"/>
              <w:spacing w:line="240" w:lineRule="exact"/>
              <w:ind w:hanging="75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Г</w:t>
            </w:r>
            <w:r>
              <w:rPr>
                <w:rFonts w:ascii="Times New Roman" w:hAnsi="Times New Roman"/>
                <w:sz w:val="27"/>
              </w:rPr>
              <w:t>ородск</w:t>
            </w:r>
            <w:r>
              <w:rPr>
                <w:rFonts w:ascii="Times New Roman" w:hAnsi="Times New Roman"/>
                <w:sz w:val="27"/>
              </w:rPr>
              <w:t>о</w:t>
            </w:r>
            <w:r>
              <w:rPr>
                <w:rFonts w:ascii="Times New Roman" w:hAnsi="Times New Roman"/>
                <w:sz w:val="27"/>
              </w:rPr>
              <w:t>й</w:t>
            </w:r>
            <w:r>
              <w:rPr>
                <w:rFonts w:ascii="Times New Roman" w:hAnsi="Times New Roman"/>
                <w:sz w:val="27"/>
              </w:rPr>
              <w:t xml:space="preserve"> </w:t>
            </w:r>
            <w:r>
              <w:rPr>
                <w:rFonts w:ascii="Times New Roman" w:hAnsi="Times New Roman"/>
                <w:sz w:val="27"/>
              </w:rPr>
              <w:t>п</w:t>
            </w:r>
            <w:r>
              <w:rPr>
                <w:rFonts w:ascii="Times New Roman" w:hAnsi="Times New Roman"/>
                <w:sz w:val="27"/>
              </w:rPr>
              <w:t>рокурор</w:t>
            </w:r>
          </w:p>
        </w:tc>
        <w:tc>
          <w:tcPr>
            <w:tcW w:type="dxa" w:w="5671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vAlign w:val="bottom"/>
          </w:tcPr>
          <w:p w14:paraId="23000000">
            <w:pPr>
              <w:widowControl w:val="1"/>
              <w:ind w:firstLine="709"/>
              <w:jc w:val="right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 xml:space="preserve"> </w:t>
            </w:r>
            <w:r>
              <w:rPr>
                <w:rFonts w:ascii="Times New Roman" w:hAnsi="Times New Roman"/>
                <w:sz w:val="27"/>
              </w:rPr>
              <w:t>Д</w:t>
            </w:r>
            <w:r>
              <w:rPr>
                <w:rFonts w:ascii="Times New Roman" w:hAnsi="Times New Roman"/>
                <w:sz w:val="27"/>
              </w:rPr>
              <w:t>.</w:t>
            </w:r>
            <w:r>
              <w:rPr>
                <w:rFonts w:ascii="Times New Roman" w:hAnsi="Times New Roman"/>
                <w:sz w:val="27"/>
              </w:rPr>
              <w:t>В</w:t>
            </w:r>
            <w:r>
              <w:rPr>
                <w:rFonts w:ascii="Times New Roman" w:hAnsi="Times New Roman"/>
                <w:sz w:val="27"/>
              </w:rPr>
              <w:t xml:space="preserve">. </w:t>
            </w:r>
            <w:r>
              <w:rPr>
                <w:rFonts w:ascii="Times New Roman" w:hAnsi="Times New Roman"/>
                <w:sz w:val="27"/>
              </w:rPr>
              <w:t>Сернов</w:t>
            </w:r>
          </w:p>
        </w:tc>
      </w:tr>
    </w:tbl>
    <w:p w14:paraId="24000000">
      <w:pPr>
        <w:widowControl w:val="1"/>
        <w:spacing w:after="0"/>
        <w:ind w:left="2977"/>
        <w:rPr>
          <w:rFonts w:ascii="Times New Roman" w:hAnsi="Times New Roman"/>
          <w:sz w:val="28"/>
        </w:rPr>
      </w:pPr>
      <w:bookmarkStart w:id="4" w:name="SIGNERSTAMP1"/>
      <w:r>
        <w:rPr>
          <w:rFonts w:ascii="Times New Roman" w:hAnsi="Times New Roman"/>
          <w:color w:themeColor="background1" w:themeShade="D9" w:val="D9D9D9"/>
          <w:sz w:val="28"/>
        </w:rPr>
        <w:t xml:space="preserve">                 </w:t>
      </w:r>
      <w:r>
        <w:rPr>
          <w:rFonts w:ascii="Times New Roman" w:hAnsi="Times New Roman"/>
          <w:color w:themeColor="background1" w:themeShade="D9" w:val="D9D9D9"/>
          <w:sz w:val="28"/>
        </w:rPr>
        <w:t>Подпись</w:t>
      </w:r>
      <w:bookmarkEnd w:id="4"/>
    </w:p>
    <w:p w14:paraId="25000000">
      <w:pPr>
        <w:rPr>
          <w:rFonts w:ascii="Times New Roman" w:hAnsi="Times New Roman"/>
          <w:sz w:val="28"/>
        </w:rPr>
      </w:pPr>
    </w:p>
    <w:p w14:paraId="26000000">
      <w:pPr>
        <w:rPr>
          <w:rFonts w:ascii="Times New Roman" w:hAnsi="Times New Roman"/>
          <w:sz w:val="28"/>
        </w:rPr>
      </w:pPr>
    </w:p>
    <w:p w14:paraId="27000000">
      <w:pPr>
        <w:rPr>
          <w:rFonts w:ascii="Times New Roman" w:hAnsi="Times New Roman"/>
          <w:sz w:val="28"/>
        </w:rPr>
      </w:pPr>
    </w:p>
    <w:p w14:paraId="28000000">
      <w:pPr>
        <w:rPr>
          <w:rFonts w:ascii="Times New Roman" w:hAnsi="Times New Roman"/>
          <w:sz w:val="28"/>
        </w:rPr>
      </w:pPr>
    </w:p>
    <w:p w14:paraId="29000000">
      <w:pPr>
        <w:rPr>
          <w:rFonts w:ascii="Times New Roman" w:hAnsi="Times New Roman"/>
          <w:sz w:val="28"/>
        </w:rPr>
      </w:pPr>
    </w:p>
    <w:p w14:paraId="2A000000">
      <w:pPr>
        <w:rPr>
          <w:rFonts w:ascii="Times New Roman" w:hAnsi="Times New Roman"/>
          <w:sz w:val="28"/>
        </w:rPr>
      </w:pPr>
    </w:p>
    <w:p w14:paraId="2B000000">
      <w:pPr>
        <w:rPr>
          <w:rFonts w:ascii="Times New Roman" w:hAnsi="Times New Roman"/>
          <w:sz w:val="28"/>
        </w:rPr>
      </w:pPr>
    </w:p>
    <w:p w14:paraId="2C000000">
      <w:pPr>
        <w:rPr>
          <w:rFonts w:ascii="Times New Roman" w:hAnsi="Times New Roman"/>
          <w:sz w:val="28"/>
        </w:rPr>
      </w:pPr>
    </w:p>
    <w:p w14:paraId="2D000000">
      <w:pPr>
        <w:rPr>
          <w:rFonts w:ascii="Times New Roman" w:hAnsi="Times New Roman"/>
          <w:sz w:val="28"/>
        </w:rPr>
      </w:pPr>
    </w:p>
    <w:p w14:paraId="2E000000">
      <w:pPr>
        <w:rPr>
          <w:rFonts w:ascii="Times New Roman" w:hAnsi="Times New Roman"/>
          <w:sz w:val="28"/>
        </w:rPr>
      </w:pPr>
    </w:p>
    <w:p w14:paraId="2F000000">
      <w:pPr>
        <w:rPr>
          <w:rFonts w:ascii="Times New Roman" w:hAnsi="Times New Roman"/>
          <w:sz w:val="28"/>
        </w:rPr>
      </w:pPr>
    </w:p>
    <w:p w14:paraId="30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7"/>
        </w:rPr>
      </w:pPr>
      <w:r>
        <w:rPr>
          <w:rFonts w:ascii="Times New Roman" w:hAnsi="Times New Roman"/>
          <w:b w:val="1"/>
          <w:sz w:val="27"/>
        </w:rPr>
        <w:t>Подпорожской городской прокуратурой организована встреча и проведен личный прием граждан участников специальной военной операции и членов их семей</w:t>
      </w:r>
    </w:p>
    <w:p w14:paraId="31000000">
      <w:pPr>
        <w:widowControl w:val="1"/>
        <w:spacing w:after="0" w:line="240" w:lineRule="auto"/>
        <w:ind w:firstLine="709"/>
        <w:jc w:val="center"/>
        <w:rPr>
          <w:rFonts w:ascii="Times New Roman" w:hAnsi="Times New Roman"/>
          <w:b w:val="1"/>
          <w:sz w:val="27"/>
        </w:rPr>
      </w:pPr>
    </w:p>
    <w:p w14:paraId="32000000">
      <w:pPr>
        <w:widowControl w:val="1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Подпорожским городским прокурором Дмитрием Серновым при участии руководителей органов местного самоуправления, органов внутренних дел, службы судебных приставов, военного комиссариата и представителя филиала государственного фонда защитники отечества проведена встреча с участниками специальной военной операции и членами семей военнослужащих, участников специальной военной операции.</w:t>
      </w:r>
    </w:p>
    <w:p w14:paraId="33000000">
      <w:pPr>
        <w:widowControl w:val="1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ходе приема рассмотрены проблемные вопросы получения выплат, положенных для данной категории граждан, об оказании семьям военнослужащих помощи в получении документов о прохождении военной службы, о предоставлении путевок на санаторно-курортное лечение.</w:t>
      </w:r>
    </w:p>
    <w:p w14:paraId="34000000">
      <w:pPr>
        <w:widowControl w:val="1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всем вопросам городским прокурором даны разъяснения действующего законодательства, приняты обращения рассмотрение, которых находится на контроле городского прокурора.</w:t>
      </w:r>
    </w:p>
    <w:p w14:paraId="35000000">
      <w:pPr>
        <w:widowControl w:val="1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Практика подобных встреч будет продолжена.</w:t>
      </w:r>
    </w:p>
    <w:sectPr>
      <w:headerReference r:id="rId3" w:type="default"/>
      <w:headerReference r:id="rId1" w:type="first"/>
      <w:footerReference r:id="rId2" w:type="first"/>
      <w:pgSz w:h="16838" w:orient="portrait" w:w="11906"/>
      <w:pgMar w:bottom="1134" w:footer="970" w:gutter="0" w:header="680" w:left="1418" w:right="567" w:top="567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tbl>
    <w:tblPr>
      <w:tblStyle w:val="Style_2"/>
      <w:tblpPr w:bottomFromText="0" w:horzAnchor="margin" w:leftFromText="181" w:rightFromText="181" w:tblpXSpec="right" w:tblpY="58" w:topFromText="0" w:vertAnchor="text"/>
      <w:tblW w:type="auto" w:w="0"/>
      <w:tblBorders>
        <w:top w:color="000000" w:sz="12" w:val="single"/>
        <w:left w:color="000000" w:sz="12" w:val="single"/>
        <w:bottom w:color="000000" w:sz="12" w:val="single"/>
        <w:right w:color="000000" w:sz="12" w:val="single"/>
        <w:insideH w:color="000000" w:sz="4" w:val="nil"/>
        <w:insideV w:color="000000" w:sz="4" w:val="nil"/>
      </w:tblBorders>
      <w:tblLayout w:type="fixed"/>
    </w:tblPr>
    <w:tblGrid>
      <w:gridCol w:w="3755"/>
    </w:tblGrid>
    <w:tr>
      <w:tc>
        <w:tcPr>
          <w:tcW w:type="dxa" w:w="3755"/>
          <w:tcBorders>
            <w:top w:color="000000" w:sz="12" w:val="single"/>
            <w:left w:color="000000" w:sz="12" w:val="single"/>
            <w:bottom w:color="000000" w:sz="4" w:val="nil"/>
            <w:right w:color="000000" w:sz="12" w:val="single"/>
          </w:tcBorders>
        </w:tcPr>
        <w:p w14:paraId="03000000">
          <w:pPr>
            <w:widowControl w:val="1"/>
            <w:ind/>
            <w:jc w:val="center"/>
            <w:rPr>
              <w:rFonts w:ascii="Times New Roman" w:hAnsi="Times New Roman"/>
              <w:sz w:val="20"/>
            </w:rPr>
          </w:pPr>
          <w:bookmarkStart w:id="1" w:name="SIGNERORG1"/>
          <w:r>
            <w:rPr>
              <w:rFonts w:ascii="Times New Roman" w:hAnsi="Times New Roman"/>
              <w:sz w:val="20"/>
            </w:rPr>
            <w:t>Организация</w:t>
          </w:r>
          <w:bookmarkEnd w:id="1"/>
        </w:p>
        <w:p w14:paraId="04000000">
          <w:pPr>
            <w:widowControl w:val="1"/>
            <w:ind/>
            <w:jc w:val="center"/>
            <w:rPr>
              <w:rFonts w:ascii="Times New Roman" w:hAnsi="Times New Roman"/>
              <w:sz w:val="8"/>
            </w:rPr>
          </w:pPr>
        </w:p>
      </w:tc>
    </w:tr>
    <w:tr>
      <w:tc>
        <w:tcPr>
          <w:tcW w:type="dxa" w:w="3755"/>
          <w:tcBorders>
            <w:top w:color="000000" w:sz="4" w:val="nil"/>
            <w:left w:color="000000" w:sz="12" w:val="single"/>
            <w:bottom w:color="000000" w:sz="12" w:val="single"/>
            <w:right w:color="000000" w:sz="12" w:val="single"/>
          </w:tcBorders>
        </w:tcPr>
        <w:p w14:paraId="05000000">
          <w:pPr>
            <w:rPr>
              <w:rFonts w:ascii="Times New Roman" w:hAnsi="Times New Roman"/>
              <w:sz w:val="28"/>
            </w:rPr>
          </w:pPr>
          <w:r>
            <w:rPr>
              <w:rFonts w:ascii="Times New Roman" w:hAnsi="Times New Roman"/>
              <w:sz w:val="20"/>
            </w:rPr>
            <w:t>№</w:t>
          </w:r>
          <w:r>
            <w:rPr>
              <w:rFonts w:ascii="Times New Roman" w:hAnsi="Times New Roman"/>
              <w:sz w:val="20"/>
            </w:rPr>
            <w:t xml:space="preserve"> </w:t>
          </w:r>
          <w:bookmarkStart w:id="2" w:name="REGNUMSTAMP"/>
          <w:r>
            <w:rPr>
              <w:rFonts w:ascii="Times New Roman" w:hAnsi="Times New Roman"/>
              <w:sz w:val="20"/>
            </w:rPr>
            <w:t>рег</w:t>
          </w:r>
          <w:bookmarkEnd w:id="2"/>
        </w:p>
      </w:tc>
    </w:tr>
  </w:tbl>
  <w:p w14:paraId="06000000">
    <w:pPr>
      <w:pStyle w:val="Style_3"/>
      <w:rPr>
        <w:rFonts w:ascii="Times New Roman" w:hAnsi="Times New Roman"/>
        <w:sz w:val="20"/>
      </w:rPr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</w:pPr>
  </w:p>
  <w:p w14:paraId="02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1"/>
      <w:widowControl w:val="1"/>
      <w:ind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 xml:space="preserve"> </w:t>
    </w:r>
    <w:r>
      <w:rPr>
        <w:rFonts w:ascii="Times New Roman" w:hAnsi="Times New Roman"/>
      </w:rPr>
      <w:fldChar w:fldCharType="end"/>
    </w:r>
  </w:p>
  <w:p w14:paraId="08000000">
    <w:pPr>
      <w:pStyle w:val="Style_1"/>
      <w:rPr>
        <w:rFonts w:ascii="Times New Roman" w:hAnsi="Times New Roman"/>
      </w:rPr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51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</w:style>
  <w:style w:default="1" w:styleId="Style_4_ch" w:type="character">
    <w:name w:val="Normal"/>
    <w:link w:val="Style_4"/>
  </w:style>
  <w:style w:styleId="Style_5" w:type="paragraph">
    <w:name w:val="toc 2"/>
    <w:next w:val="Style_4"/>
    <w:link w:val="Style_5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1" w:type="paragraph">
    <w:name w:val="header"/>
    <w:basedOn w:val="Style_4"/>
    <w:link w:val="Style_1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4_ch"/>
    <w:link w:val="Style_1"/>
  </w:style>
  <w:style w:styleId="Style_6" w:type="paragraph">
    <w:name w:val="toc 4"/>
    <w:next w:val="Style_4"/>
    <w:link w:val="Style_6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4"/>
    <w:link w:val="Style_7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4"/>
    <w:link w:val="Style_8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Endnote"/>
    <w:link w:val="Style_9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4"/>
    <w:link w:val="Style_10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toc 3"/>
    <w:next w:val="Style_4"/>
    <w:link w:val="Style_11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Balloon Text"/>
    <w:basedOn w:val="Style_4"/>
    <w:link w:val="Style_12_ch"/>
    <w:pPr>
      <w:widowControl w:val="1"/>
      <w:spacing w:after="0" w:line="240" w:lineRule="auto"/>
      <w:ind/>
    </w:pPr>
    <w:rPr>
      <w:rFonts w:ascii="Tahoma" w:hAnsi="Tahoma"/>
      <w:sz w:val="16"/>
    </w:rPr>
  </w:style>
  <w:style w:styleId="Style_12_ch" w:type="character">
    <w:name w:val="Balloon Text"/>
    <w:basedOn w:val="Style_4_ch"/>
    <w:link w:val="Style_12"/>
    <w:rPr>
      <w:rFonts w:ascii="Tahoma" w:hAnsi="Tahoma"/>
      <w:sz w:val="16"/>
    </w:rPr>
  </w:style>
  <w:style w:styleId="Style_13" w:type="paragraph">
    <w:name w:val="heading 5"/>
    <w:next w:val="Style_4"/>
    <w:link w:val="Style_13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4" w:type="paragraph">
    <w:name w:val="heading 1"/>
    <w:next w:val="Style_4"/>
    <w:link w:val="Style_14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4"/>
    <w:link w:val="Style_17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8_ch" w:type="character">
    <w:name w:val="Header and Footer"/>
    <w:link w:val="Style_18"/>
    <w:rPr>
      <w:rFonts w:ascii="XO Thames" w:hAnsi="XO Thames"/>
      <w:sz w:val="28"/>
    </w:rPr>
  </w:style>
  <w:style w:styleId="Style_19" w:type="paragraph">
    <w:name w:val="toc 9"/>
    <w:next w:val="Style_4"/>
    <w:link w:val="Style_19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toc 8"/>
    <w:next w:val="Style_4"/>
    <w:link w:val="Style_20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Default Paragraph Font"/>
    <w:link w:val="Style_21_ch"/>
  </w:style>
  <w:style w:styleId="Style_21_ch" w:type="character">
    <w:name w:val="Default Paragraph Font"/>
    <w:link w:val="Style_21"/>
  </w:style>
  <w:style w:styleId="Style_3" w:type="paragraph">
    <w:name w:val="footer"/>
    <w:basedOn w:val="Style_4"/>
    <w:link w:val="Style_3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3_ch" w:type="character">
    <w:name w:val="footer"/>
    <w:basedOn w:val="Style_4_ch"/>
    <w:link w:val="Style_3"/>
  </w:style>
  <w:style w:styleId="Style_22" w:type="paragraph">
    <w:name w:val="toc 5"/>
    <w:next w:val="Style_4"/>
    <w:link w:val="Style_22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2_ch" w:type="character">
    <w:name w:val="toc 5"/>
    <w:link w:val="Style_22"/>
    <w:rPr>
      <w:rFonts w:ascii="XO Thames" w:hAnsi="XO Thames"/>
      <w:sz w:val="28"/>
    </w:rPr>
  </w:style>
  <w:style w:styleId="Style_23" w:type="paragraph">
    <w:name w:val="Subtitle"/>
    <w:next w:val="Style_4"/>
    <w:link w:val="Style_23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3_ch" w:type="character">
    <w:name w:val="Subtitle"/>
    <w:link w:val="Style_23"/>
    <w:rPr>
      <w:rFonts w:ascii="XO Thames" w:hAnsi="XO Thames"/>
      <w:i w:val="1"/>
      <w:sz w:val="24"/>
    </w:rPr>
  </w:style>
  <w:style w:styleId="Style_24" w:type="paragraph">
    <w:name w:val="Title"/>
    <w:next w:val="Style_4"/>
    <w:link w:val="Style_24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4_ch" w:type="character">
    <w:name w:val="Title"/>
    <w:link w:val="Style_24"/>
    <w:rPr>
      <w:rFonts w:ascii="XO Thames" w:hAnsi="XO Thames"/>
      <w:b w:val="1"/>
      <w:caps w:val="1"/>
      <w:sz w:val="40"/>
    </w:rPr>
  </w:style>
  <w:style w:styleId="Style_25" w:type="paragraph">
    <w:name w:val="heading 4"/>
    <w:next w:val="Style_4"/>
    <w:link w:val="Style_25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5_ch" w:type="character">
    <w:name w:val="heading 4"/>
    <w:link w:val="Style_25"/>
    <w:rPr>
      <w:rFonts w:ascii="XO Thames" w:hAnsi="XO Thames"/>
      <w:b w:val="1"/>
      <w:sz w:val="24"/>
    </w:rPr>
  </w:style>
  <w:style w:styleId="Style_26" w:type="paragraph">
    <w:name w:val="heading 2"/>
    <w:next w:val="Style_4"/>
    <w:link w:val="Style_26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6_ch" w:type="character">
    <w:name w:val="heading 2"/>
    <w:link w:val="Style_26"/>
    <w:rPr>
      <w:rFonts w:ascii="XO Thames" w:hAnsi="XO Thames"/>
      <w:b w:val="1"/>
      <w:sz w:val="28"/>
    </w:rPr>
  </w:style>
  <w:style w:styleId="Style_2" w:type="table">
    <w:name w:val="Table Grid"/>
    <w:basedOn w:val="Style_27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27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8" w:type="table">
    <w:name w:val="Сетка таблицы светлая1"/>
    <w:basedOn w:val="Style_27"/>
    <w:pPr>
      <w:widowControl w:val="1"/>
      <w:spacing w:after="0" w:line="240" w:lineRule="auto"/>
      <w:ind/>
    </w:pPr>
    <w:tblPr>
      <w:tblBorders>
        <w:top w:color="BFBFBF" w:sz="4" w:val="single"/>
        <w:left w:color="BFBFBF" w:sz="4" w:val="single"/>
        <w:bottom w:color="BFBFBF" w:sz="4" w:val="single"/>
        <w:right w:color="BFBFBF" w:sz="4" w:val="single"/>
        <w:insideH w:color="BFBFBF" w:sz="4" w:val="single"/>
        <w:insideV w:color="BFBFBF" w:sz="4" w:val="single"/>
      </w:tblBorders>
    </w:tblPr>
  </w:style>
  <w:style w:styleId="Style_29" w:type="table">
    <w:name w:val="Сетка таблицы светлая2"/>
    <w:basedOn w:val="Style_27"/>
    <w:pPr>
      <w:widowControl w:val="1"/>
      <w:spacing w:after="0" w:line="240" w:lineRule="auto"/>
      <w:ind/>
    </w:pPr>
    <w:tblPr>
      <w:tblBorders>
        <w:top w:sz="4" w:themeColor="background1" w:themeShade="BF" w:val="single"/>
        <w:left w:sz="4" w:themeColor="background1" w:themeShade="BF" w:val="single"/>
        <w:bottom w:sz="4" w:themeColor="background1" w:themeShade="BF" w:val="single"/>
        <w:right w:sz="4" w:themeColor="background1" w:themeShade="BF" w:val="single"/>
        <w:insideH w:sz="4" w:themeColor="background1" w:themeShade="BF" w:val="single"/>
        <w:insideV w:sz="4" w:themeColor="background1" w:themeShade="BF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ettings.xml" Type="http://schemas.openxmlformats.org/officeDocument/2006/relationships/settings"/>
  <Relationship Id="rId1" Target="header1.xml" Type="http://schemas.openxmlformats.org/officeDocument/2006/relationships/header"/>
  <Relationship Id="rId10" Target="theme/theme1.xml" Type="http://schemas.openxmlformats.org/officeDocument/2006/relationships/theme"/>
  <Relationship Id="rId2" Target="footer2.xml" Type="http://schemas.openxmlformats.org/officeDocument/2006/relationships/footer"/>
  <Relationship Id="rId3" Target="header3.xml" Type="http://schemas.openxmlformats.org/officeDocument/2006/relationships/header"/>
  <Relationship Id="rId8" Target="stylesWithEffects.xml" Type="http://schemas.microsoft.com/office/2007/relationships/stylesWithEffects"/>
  <Relationship Id="rId4" Target="media/1.png" Type="http://schemas.openxmlformats.org/officeDocument/2006/relationships/image"/>
  <Relationship Id="rId9" Target="webSettings.xml" Type="http://schemas.openxmlformats.org/officeDocument/2006/relationships/webSettings"/>
  <Relationship Id="rId7" Target="styles.xml" Type="http://schemas.openxmlformats.org/officeDocument/2006/relationships/styles"/>
  <Relationship Id="rId5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2026-03-13T11:20:18Z</dcterms:created>
  <dcterms:modified xsi:type="dcterms:W3CDTF">2026-03-19T06:36:06Z</dcterms:modified>
</cp:coreProperties>
</file>